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Костромской области от 26.08.2022, оставленным без изменения постановлениями Второго арбитражного апелляционного суда от 03.11.2022 и Арбитражного суда Волго-Вятского округа от 20.02.2023, отказано в удовлетворении заявления Соколова Н.М. об исправлении опечатки в определении Арбитражного суда Костромской области от 19.07.2022. В кассационной жалобе, поданной в Верховный Суд Российской Федерации, заявитель выражает несогласие с указанными судебными актами. Основаниями для отмены или изменения Судебной коллегией Верховного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ходатайства об исправлении опечатки, суд первой инстанции, руководствуясь положениями статьи 179 Арбитражного процессуального кодекса Российской Федерации, исходил из отсутствия причин для удовлетворения требований по заявленным основаниям.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