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Костромской области от 10.06.2022, оставленным без изменения постановлениями Второго арбитражного апелляционного суда от 29.08.2022 и Арбитражного суда Волго-Вятского округа от 10.02.2023, отказано в удовлетворении заявления Соколова Н.М. об исправлении опечатки в определении Арбитражного суда Костромской области от 03.06.2022.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ходатайства об исправлении опечатки, суд первой инстанции, руководствуясь положениями статьи 179 Арбитражного процессуального кодекса Российской Федерации, исходил из отсутствия причин для удовлетворения требований по заявленным основаниям.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