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с жалобой на действия (бездействие) временного управляющего должником Пименова Сергея Владимировича, выразившиеся в ненадлежащем проведении анализа состояния должника; в необоснованном вынесении заключения о наличии (отсутствии) признаков фиктивного и преднамеренного банкротства; заключения о наличии (отсутствии) оснований для оспаривания сделок должника, отчета временного управляющего Пименова С.В. от 18.03.2022; признании данного анализа и заключения недействительными. Определением Арбитражного суда города Москвы от 25.08.2022 в удовлетворении жалобы отказано. Определением Девятого арбитражного апелляционного суда от 13.12.2022, производство по апелляционной жалобе прекращено, в связи с отказом в удовлетворении ходатайства о восстановлении пропущенного процессуального срока. Постановлением Арбитражного суда Московского округа от 31.01.2023 определение суда апелляционной инстанции от 13.12.2022 оставлено без изменения.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2 Письмом Верховного Суда Российской Федерации от 10.04.2023 № 305–ЭС23–7408 кассационная жалоба заявителя в части обжалования определения Арбитражного суда города Москвы от 25.08.2022 и определения Арбитражного суда Московского округа от 06.03.2023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установленных частью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суд апелляционной инстанции, с выводами которого согласился суд округа, руководствовался статьями 117, 121, 259, 276 Арбитражного процессуального кодекса Российской Федерации, с учетом разъяснений, изложенных в пунктах 32, 34 постановления Пленума Высшего Арбитражного Суда Российской Федерации от 25.12.2013 N 99 «О процессуальных сроках», и исходил из того, что жалоба подана с пропуском срока, при этом отсутствуют уважительные причины для его восстановления.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