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акционерным обществом «Русский строительный банк» государственная корпорация «Агентство по страхованию вкладов» (далее – банк) обратился в суд с заявлением о включении в реестр требований кредиторов должника (далее – реестр) задолженности в размере 2 575 020 рублей как обеспеченной залогом имущества должника. Одновременно с этим банк заявил ходатайство о восстановлении пропущенного срока на предъявление требования. Определением Арбитражного суда города Москвы от 03.11.2022, оставленным без изменения постановлениями Девятого арбитражного апелляционного суда от 26.01.2023 и Арбитражного суда Московского округа от 24.03.2023, восстановлен срок на обращение с требованием о включении в реестр, требование банка в заявленном размере включено в третью очередь реестра как обеспеченного залогом имущества должника.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во включении требования банка в реестр.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 100 , 213.9 , 213.24 Федерального закона от 26.10.2002 № 127-ФЗ «О несостоятельности (банкротстве)», исходили из наличия правовых оснований для включения непогашенной должником задолженности перед банком в третью очередь реестра, восстановив срок на подачу заявления ввиду уважительных причин его пропуска, вызванных сменой должником фамилии и неполучением конкурсным управляющим банком уведомления от финансового управляющего о введении процедуры банкротства должника.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КБ "Судостроительный банк" (ГК АСВ) (подробнее) Иные лица: АО "Русский строительный банк" (подробнее) ГУ ЛУХОВИЦКИЙ РОСП ФССП РОССИИ (подробнее) Р.Л. Кашина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