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акционерным обществом «Акционерный коммерческий банк «Апабанк» – государственная корпорация «Агентство по страхованию вкладов» (далее – банк) обратилась в суд с заявлением о включении в реестр требований кредиторов должника (далее – реестр) требования в общем размере 33 554 413 рублей 31 копейка. Определением Арбитражного суда Московской области от 21.09.2022, оставленным без изменения постановлениями Десятого арбитражного апелляционного суда от 16.12.2022 и Арбитражного суда Московского округа от 14.03.2023,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61.6, 100, 142 Федерального закона от 26.10.2002 № 127-ФЗ «О несостоятельности (банкротстве)», исходили из наличия правовых оснований для включения в реестр восстановленного по недействительным сделкам требования банка к должнику без понижения в очерёдности удовлетворения.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