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10.06.2022, оставленным без изменения постановлениями Второго арбитражного апелляционного суда от 10.10.2022 и Арбитражного суда Волго-Вятского округа от 14.02.2023, отказано в удовлетворении заявления Соколова Н.М. об исправлении опечатки в определении Арбитражного суда Костромской области от 25.05.2022.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об исправлении опечатки, суд первой инстанции, руководствуясь положениями статьи 179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