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Попов Александр Викторович обратился в суд с заявлением о признании недействительными сделками платёжей, совершённых в пользу общества «Сервис Элит» в размере 2 132 770 рублей; применении последствий недействительности сделки в виде взыскания с общества «Сервис Элит» в пользу должника 2 132 770 рублей. Определением Арбитражного суда Смоленской области от 01.07.2022, оставленным без изменения постановлениями Двадцатого арбитражного апелляционного суда от 06.09.2022 и Арбитражного суда Центрального округа от 13.02.2023, платежи, совершенные должником в пользу общества «Сервис Элит» на сумму 2 132 770 рублей, признаны недействительными, применены последствия недействительности сделок в виде взыскания с общества «Сервис Элит» в пользу должника денежных средств в размере 1 995 130 рублей. В кассационной жалобе, поданной в Верховный Суд Российской Федерации, заявитель просит отменить обжалуемые судебные акты, обособленный спор направить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обстоятельств для признания недействительным оспариваемых платежей, совершённых должником в период подозрительности, имеющим неисполненные обязательства перед иным кредитором, в пользу заинтересованного лица, в отсутствии подтверждения факта реального оказания услуг, что повлекло за собой причинение вреда имущественным правам кредиторов, правомерно применив последствия её недействительности.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