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05.10.2022, оставленным без изменения постановлением Пятнадцатого арбитражного апелляционного суда от 02.12.2022 и постановлением Арбитражного суда Северо-Кавказского округа от 20.02.2023, заявление удовлетворено. В кассационной жалобе ФИО1 просит об отмене судебных актов, указывая на то, что в вопросе о перспективе оспаривания сделки руководствовалась судебной практикой, убытки не доказаны.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бездействие арбитражного управляющего в вопросе оспаривания сделки должника, приведшее к непопаданию в конкурсную массу имущества на заявленную в качестве убытков сумму. Иная оценка обстоятельств сделки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"БАНК ДОМ.РФ" (подробнее) а/у Мудрова Я.А. (подробнее) ООО "Долговые Инвестиции" (подробнее) ООО Коммерческий банк "Ренессанс Кредит" (подробнее) ООО "Столичное агентство по возврату долгов" (подробнее) ООО "Страховая компания "Арсеналъ" (подробнее) ПАО "Сбербанк России" (подробнее) Иные лица: ААУ "ЦФОП АПК" (подробнее) А/у Мудрова Я. А. (подробнее) НП "Дальневосточная межрегиональная саморегулируемая организация профессиональных арбитражных управляющих" (подробнее) НП "Межрегиональная саморегулируемая организация профессиональных арбитражных управляющих" (подробнее) НП "Московская саморегулируемая организация профессиональных арбитражных управляющих" (подробнее) СРОАУ " ЮЖНЫЙ УРАЛ"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