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02.08.2022 требование удовлетворено в части включения задолженности в третью очередь реестра. Восемнадцатый арбитражный апелляционный суд постановлением от 21.12.2022 отменил определение от 02.08.2022 и включил требование в реестр как обеспеченное залогом имущества должника. Арбитражный суд Уральского округа постановлением от 09.03.2023 оставил без изменения постановление апелляционного суда от 21.12.2022. В кассационной жалобе ФИО1 просит об отмене судебных актов апелляционного и окружного судов, ссылаясь на неправомерное установление за требованием статуса залогового.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залоговый статус требования основан на договоре, предмет залога не утрачен, а перешел на имущество, приобретенное за счет компенсационной выплаты, полученной должником в качестве возмещения при банкротстве застройщика, поэтому удовлетворили требование в соответствии со статьями 334 , 345 , 352 Гражданского кодекса Российской Федерации, статьями 18.1 , 138 , 213.27 Федерального закона от 26.10.2002 № 127-ФЗ «О несостоятельности (банкротстве)». Иное толкование норм права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в лице регионального операционного офиса "Челябинский" филиал №6602 Банка ВТБ в г. Екатеринбурге (подробнее) ПАО Банк ЗЕНИТ (подробнее) Иные лица: Инспекция Федеральной налоговой службы по Тракторозаводскому району г. Челябинска (подробнее) Союз "МЦАУ" (подробнее) Судьи дела: Ксенофонтова Н.А. (судья)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