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предприниматель обратился в суд с заявлением о включении в реестр требований кредиторов должника (далее – реестр) задолженности в размере 36 437 100 рублей. Определением Арбитражного суда города Москвы от 17.08.2022, оставленным без изменения постановлениями Девятого арбитражного апелляционного суда от 07.11.2022 и Арбитражного суда Московского округа от 31.01.2023, требование предпринимателя в заявленном размере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в части понижения очерёдности удовлетворения его требования, направить обособленный спор на новое рассмотрение в суд первой инстанции.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 и понижая заявленное требование в очерёдности удовлетворения, суды, руководствуясь статьями 2 , 19 , 71 , 100 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от 29.01.2020, исходили из того, что заявленное требование направлено на возврат компенсационного финансирования, предоставленного должнику заинтересованным лицом в ситуации имущественного кризиса, и не может конкурировать с требованиями независимых кредиторов. Выводы судов в обжалуемой заявителем части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ОАО "ГлобалЭлектроСервис" (подробнее) ООО "Консалтпро" (подробнее) Ответчики: ООО "ТГК. Юридическая практика" (подробнее) ООО ТГК Юридическая практика (подробнее) Иные лица: Ассоциации "МСО ПАУ" (подробнее) ООО "ГРУППА ЮНИОН"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