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пересмотре по вновь открывшимся обстоятельствам определения Арбитражного суда города Санкт – Петербурга и Ленинградской области от 20.02.2021, которым отказано во включении его требования в размере 332 587 952 рублей 90 копеек в реестр требований кредиторов должника. Определением Арбитражного суда города Санкт – Петербурга и Ленинградской области от 14.07.2022 заявление удовлетворено. Постановлением Тринадцатого арбитражного апелляционного суда от 10.11.2022, оставленным без изменения Арбитражного суда Северо-Западного округа от 30.01.2023,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удовлетворении заявления, апелляционный суд, руководствуясь статьями 309 , 311 Арбитражного процессуального кодекса Российской Федерации, исходили из того, что приводимые заявителем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Суд округа поддержал выводы апелляционного суда.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МИФНС 11 (подробнее) ООО "Комплекс" (подробнее) ООО "Силовые промышленные машины и агрегаты" (подробнее) УФНС по Лениинградской области (подробнее) Иные лица: ГУ Управление по вопросам миграции МВД России по Москве (подробнее) ГУ Центр адресно-справочной работы Управления по вопросам миграции МВД по г. Москве (подробнее) ООО 2Голдекс Дивелопмент " (подробнее) Тринадцатый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