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ФИО2 с заявлением о включении в реестр требований кредиторов должника требования в размере 5 000 000 рублей основного долга, 567 505 688 рублей 67 копеек процентов за пользование займом, 870 899 рублей 66 копеек процентов за пользование чужими денежными средствами. Определением Арбитражного суда города Москвы от 14.01.2022 требование признано обоснованным в части, в третью очередь реестра требований кредиторов должника включено требование кредитора в размере 5 000 000 рублей основного долга, 11 590 156 рублей 35 копеек процентов за пользование займом, 2 286 524 рублей 66 копеек процентов за пользование чужими денежными средствами. Постановлением Девятого арбитражного апелляционного суда от 08.04.2022 определение суда первой инстанции изменено в части размера процентов за пользование займом, в реестр требований кредиторов должника включены проценты за пользование займом в сумме 10 986 680 рублей 03 копеек, в остальной части определение суда первой инстанции оставлено без изменения. Арбитражный суд Московского округа постановлением от 04.07.2022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в части включения в реестр требований кредиторов должника требования кредитора по процентам за пользование чужими денежными средствами и процентам за пользование займом,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руководствуясь положениями статей 16 , 69 Арбитражного процессуального кодекса Российской Федерации, статьями 319 , 333 , 395 , 807 , 809 , 811 Гражданского кодекса Российской Федерации, статьями 16 , 71 , 100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несостоятельности (банкротстве)», установив основание возникновения задолженности, подтвержденной вступившим в законную силу судебным актом суда общей юрисдикции, частичное погашение задолженности, начисление кредитором процентов за пользование чужими денежными средствами за период с момента принятия решения до введения процедуры банкротства должника, признали заявленное требование обоснованным и подлежащим включению в реестр требований кредиторов третьей очереди. Отсутствие в резолютивной части судебного акта о включении требования в реестр требований кредиторов должника указания на очередность погашения штрафных санкций, предусмотренную пунктом 3 статьи 137 Закона о банкротстве, не свидетельствует о том, что положения названной статьи не подлежат применению.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Государственная жилищная инспекция г. Москвы (подробнее) ИФНС №29 по г.Москве (подробнее) ООО Страховая компания "Независимая страховая группа" (подробнее) ПАО "Сбербанк России"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