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Тимофеевой Ю.П. в Арбитражный суд Московской области обратилась финансовый управляющий ее имуществом Кан Г.А. с заявлением о признании недействительными договоров купли-продажи легкового автомобиля и применении последствий недействительности сделок в виде прекращения права собственности Калининой С.П. на автомобиль, признании за должником права собственности на легковой автомобиль, включении автомобиля в конкурсную массу должника. Определением Арбитражного суда Московской области от 14.10.2020, оставленным без изменения постановлением Десятого арбитражного апелляционного суда от 05.03.2021 и постановлением Арбитражного суда Московского округа от 08.09.2021, заявление удовлетворено, договоры купли- продажи легкового автомобиля признаны недействительными, применены последствия недействительности сделок в виде обязания Калининой С.П. возвратить в конкурсную массу должника спорный легковой автомобиль. 2 Финансовый управляющий Сафина (Кан) Г.А. обратилась в Арбитражный суд Московской области с заявлением об изменении способа и порядка исполнения определения суда от 14.10.2020. Определением Арбитражного суда Московской области от 21.09.2022 изменен способ и порядок исполнения определения Арбитражного суда Московской области от 14.10.2020 в части применения последствий недействительности сделок – с Калининой С.П. в конкурсную массу должника взысканы денежные средства в размере 1 798 000 рублей; в удовлетворении заявления в остальной части отказано. Постановлением Десятого арбитражного апелляционного суда от 25.11.2022 определение суда первой инстанции отменено, в удовлетворении заявления отказано. Арбитражный суд Московского округа постановлением от 27.02.2023 постановление суда апелляционной инстанции отменил и оставил в силе определение суда первой инстанции. Калинина С.П. обратилась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транспортное средство, подлежащее возврату в конкурсную массу должника, находится в разукомплектованном состоянии, ненадлежащем техническом состоянии, суд первой инстанции пришел к выводу о том, что данное обстоятельство влечет невозможность исполнения ответчиком в натуре возложенной на него определением суда обязанности по возврату имущества в конкурсную массу должника, что является основанием для изменения порядка и способа исполнения судебного акта и взыскания с ответчика стоимости транспортного средства, установленной по результатам проведенной судебной экспертизы. 3 Суд округа согласился с выводами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