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09.09.2021, оставленным без изменения постановлением Девятого арбитражного апелляционного суда от 08.12.2021 и постановлением Арбитражного суда Московского округа от 03.03.2022, заявление удовлетворено. В кассационной жалобе ФИО2 просит о пересмотре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оспариваемых взаимосвязанных договоров между заинтересованными лицами на безвозмездной основе с целью прикрытия выведения имущества из под взыскания по долгам, признав эти обстоятельства условиями для недействительности сделок в силу статьи 61.2 Федерального закона от 26.10.2002 № 127-ФЗ «О несостоятельности (банкротстве)» и статей 10 , 168 Гражданского кодекса Российской Федерации.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