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жалобой на указанные судебные акты, одновременно заявив ходатайство об отсрочке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уплату в порядке, предусмотренном статьей 33341 названного Кодекса. Судом установлено,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при этом обстоятельства, свидетельствующие о невозможности уплаты государственной пошлины при подаче кассационной жалобы, документально подтверждены. На основании изложенного, руководствуясь статьями 102 , 184 , 2913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«ВКО» удовлетворить, предоставить отсрочку уплаты государственной пошлины в размере 3 000 (три тысячи) рублей при подаче кассационной жалобы сроком до окончания производства по настоящей кассационной жалобе. Судья Верховного Суда А.Г.Першутов Российской Федерации Суд: Верховный Суд РФ (подробнее) Истцы: ООО "ВКО" (подробнее) Ответчики: Управление инженерной инфраструктуры администрации Ашинского муниципального района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