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Удмуртской Республики от 11.07.2022, оставленным без изменения постановлением Семнадцатого арбитражного апелляционного суда от 07.10.2022 и постановлением Арбитражного суда Уральского округа от 09.02.2023, иск удовлетворен. В кассационной жалобе общество «ВМК» просит об отмене судебных актов, ссылаясь на ненадлежащие доказательства повреждения груза при перевозке и размера убытков.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Вопросы доказывания и оценки доказательств, разрешаемые судами в силу компетенции и составляющие доводы жалобы, не создают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«ВМК»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ОАО "Российский Сельскохозяйственный банк" в лице Удмуртского регионального филиала "Российский Сельскохозяйственный банк" (подробнее) Ответчики: ООО "ВМК"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