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Приведенные заявителями жалоб доводы являлись предметом рассмотрения судов трех инстанций, направлены на переоценку установленных судами фактических обстоятельств по делу. Руководствуясь статьями 2916, 2918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автономному учреждению Республики Мордовия «Ледовый дворец» и Управлению Федерального казначейства по Республике Мордовия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