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Выводы судов о том, что исковое требование заявлено за пределами срока исковой давности, с учетом фактических обстоятельств дела соответствуют положениям пункта 3 статьи 202 Гражданского кодекса Российской Федерации и разъяснениям, изложенным в пунктах 89, 90 постановления Пленума Верховного Суда Российской Федерации от 08.11.2022 № 31 «О применении судами законодательства об обязательном страховании гражданской ответственности владельцев транспортных средств».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ИП Тимуршин Рамиль Раидович, г. Казань (подробнее) Ответчики: АО "Страховое общество газовой промышленности "СОГАЗ" (подробнее) АО "Страховое общество газовой промышленности "СОГАЗ", г. Казань (подробнее) Иные лица: Одиннадцатый Арбитражный апелляционный суд (подробнее) Отдел адресно-справочной работы Управления по вопросам миграции МВД по Республике Татарстан (подробнее) Судьи дела: Антонова М.К. (судья) (подробнее)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