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20.09.2022, оставленным без изменения постановлением Девятого арбитражного апелляционного суда от 08.12.2022, завершена процедура реализации имущества гражданина, должник освобождён от дальнейшего исполнения требований кредиторов, в том числе кредиторов, не заявленных при введении процедур реструктуризации долгов гражданина или реализации имущества гражданина. Постановлением Арбитражного суда Московского округа от 21.02.2023 принятые по делу судебные акты отменены в части освобождения должника от дальнейшего исполнения требований закрытого акционерного общества «Думиничкский завод» (далее – кредитор), в отменённой части принят новый судебный акт об отказе в применении правил об освобождении должника от дальнейшего исполнения обязательств перед кредитором. В кассационной жалобе, поданной в Верховный Суд Российской Федерации, заявитель просит отменить постановление суда округа, оставить без изменения определение суда первой инстанции и постановление апелляционного суда. Исходя из доводов кассационной жалобы, заявитель не согласен с обжалуемым судебным актом в части неприменения в отношении него правил об освобождении от исполнения обязательств перед кредитором.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спору судебные акты в обжалуемой части, суд округа, руководствуясь положениями абзаца второго пункта 6 статьи 213.28 Федерального закона от 26.10.2002 № 127-ФЗ «О несостоятельности (банкротстве)», исходил из того, что непогашенные требования кредитора основаны на судебном акте о взыскании убытков с должника, являвшегося руководителем этого кредитора и его контролирующим лицом, которым было реализовано имущество подконтрольного ему общества, а денежные средства от продажи имущества обществу не поступили. В связи с чем, суд округа отказал в применении правил об освобождении должника от дальнейшего исполнения обязательств в части требований этого кредитора. Обжалуемое постановление в обжалуемой части принято в пределах полномочий, предоставленных суду кассационной инстанции (статья 287 Арбитражного процессуального кодекса Российской Федерации). Существенных нарушений норм материального и (или) норм процессуального права, которые бы повлияли на исход судебного разбирательства,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ИФНС России №24 по г. Москве (подробнее) к/у Демяшкина Л.В. (подробнее) ОАО "Россельхозбанк" (подробнее) ООО "МеталлСнабСервис" (подробнее) ПАО "Сбербанк" (подробнее) ПАО "Сбербанк России" в лице Среднерусского банка (подробнее) Иные лица: ЗАО "Думиничский завод"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