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судом округа норм права, просит пересмотреть указанный судебный акт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Направляя дело на новое рассмотрение в суд первой инстанции, суд округа, не принимая какого-либо решения по существу спора, указал на наличие безусловных оснований для отмены судебных актов. Доводы заявителя в силу статьи 291.6 Арбитражного процессуального кодекса Российской Федерации не являются основанием для передачи жалобы 2 для рассмотрения в судебном заседании Судебной коллегии Верховного Суда Российской Федерации.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обжалуемого судебного акта рассмотрению не подлежит.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«Термоград»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