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02.09.2022, оставленным без изменения постановлением Девятого арбитражного апелляционного суда от 01.11.2022 и постановлением Арбитражного суда Московского округа от 24.01.2023, в удовлетворении заявления отказано. В кассационной жалобе Вечи Н.В. просит об отмене судебных актов, ссылаясь на неправильную оценку обстоятельств совершения сделки.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Требуемая переоценка установленных обстоятельств совершения сделки не создает обозначенных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Вечи Наталье Витальевне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