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07.12.2021, оставленным без изменения постановлением Шестнадцатого арбитражного апелляционного суда от 28.02.2022 и постановлением Арбитражного суда Северо-Кавказского округа от 02.06.2022, в удовлетворении заявления отказано. В кассационной жалобе ФИО1 просит об отмене судебных актов, ссылаясь на неисследование источников платежа за спорный земельный участок.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должника противоречат установленным судами обстоятельствам.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предпринимателю-главе крестьянского (фермерского)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"АГРО ЭКСПОРТ" (подробнее) ООО "СХП БИС" (подробнее) Ответчики: Глава КФХ Бахолдин (подробнее) Глава КФХ Бахолдин С.А. (подробнее) КФХ Бахолдин Степан Алексеевич (подробнее) Иные лица: Ассоциация "МСРОАУ" (подробнее) ку Вороновский А.В. (подробнее) КУ Рязанов Ю.А. (подробнее) Управление Росреестра по СК (подробнее) УФНС России по СК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