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23.06.2022, оставленным без изменения постановлением Семнадцатого арбитражного апелляционного суда от 26.10.2022 и постановлением Арбитражного суда Уральского округа от 20.02.2023, заявление удовлетворено, на должника переведены права и обязанности по договору купли-продажи земельного участка от 20.03.2020 № 45, заключенного между Администрацией города Нижний Тагил и Либман А.В., за должником признано право собственности на земельный участок, участок включен в конкурсную массу. В кассационной жалобе Либман А.В. просит об отмене судебных актов, ссылаясь на неосновательное признание имущества совместно нажитым.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основанием приобретения ответчиком права собственности на земельный участок явилась сделка по отчуждению должником в пользу ответчика находящегося на участке строения, возврат которого в конкурсную массу произведен в силу статей 166, 168, 273, 549, 552 Гражданского кодекса Российской Федерации, статей 1, 35 Земельного кодекса Российской Федерации и в качестве последствия признания в рамках иного спора сделки по отчуждению строения недействительной.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Либман Анне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