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ФИО4 Грегори обратился в суд с заявлением о признании недействительными трёх договоров уступки права требования – от 05.10.2020, от 30.10.2020 и от 04.11.2020, заключенных между должником (цедентом) и цессионарием ФИО1 Определением Арбитражного суда Московской области от 08.07.2022 заявление удовлетворено. Постановлением Десятого арбитражного апелляционного суда от 20.09.2022, оставленным без изменения постановлением Арбитражного суда Московского округа от 23.01.2023, вышеуказанное определение изменено в части применения последствий недействительности сделок. Применены последствия недействительности сделок в виде восстановления права должника на взыскание с общества с ограниченной ответственностью «Дом на Патриарших» задолженности, подтверждённой решениями Арбитражного суда г. Москвы от 13.01.2020 по делу № А40-233011/2018 и от 17.06.2020 по делу № А40-53571/2020. В остальной части определение суда первой инстанции от 08.07.2022 оставлено без изменения. В кассационных жалобах, поданных в Верховный Суд Российской Федерации, заявители просят отменить названные судебный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пунктами 1 и 2 статьи 61.2 Федерального закона от 26.10.2002 № 127-ФЗ «О несостоятельности (банкротстве)», исходили из того, что в результате совершения оспариваемых подозрительных сделок неплатёжеспособный должник лишился своего ликвидного имущества (права требования дебиторской задолженности) и не получил от цессионария встречного исполнения в виде уплаченных за него денежных средств, в связи с чем пришли к выводам о наличии оснований для удовлетворения заявления конкурсного управляющего.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Грегори Ширин (подробнее) ИФНС №13 по Московской области (подробнее) ООО "Феникс" (подробнее) ПАО "Сбербанк России" (подробнее) Ответчики: ИП Полевов Александр Викторович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