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12.05.2023 повторно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Первоначальное обращение с кассационной жалобой за пределами двухмесячного срока в отсутствие ходатайства о восстановлении срока само по себе не может свидетельствовать об уважительности причин пропуска срока на подачу кассационной жалобы. При этом согласно пункту 30 постановления Пленума Высшего Арбитражного Суда Российской Федерации от 25.12.2013 № 99 «О процессуальных сроках» срок на подачу кассационной жалобы исчисляется с даты изготовления арбитражным судом судебного акта в полном объеме. Заявителем не представлено доказательств того, что им были предприняты все меры для своевременного обращения с кассационной жалобой, а установленный срок был пропущен по причине, объективно и реально препятствовавшей совершению юридически значимых действий в установленный срок.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силу пункта 3 части 1 статьи 2915 Кодекса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 184 , 185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Министерства цифрового развития, связи и массовых коммуникаций Российской Федерации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Министерство цифрового развития, связи и массовых коммуникаций Российской Федерации (подробнее) Ответчики: ООО "ПРЕМИУМ ИНФО КОМ"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