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04.05.2023 повторно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Настоящая кассационная жалоба направлена в Верховный Суд Российской Федерации по истечении как двухмесячного процессуального срока на обжалование судебного акта, так и по истечении пресекательного шестимесячного срока, после которого срок подачи кассационной жалобы не может быть восстановлен. Первоначальное обращение с кассационной жалобой с нарушением установленного порядка обращения не прерывает течение установленного срока на подачу кассационной жалобы. Заявитель являлся инициатором кассационного обжалования в суде округа, судебный акт своевременно размещен в информационной базе «Картотека арбитражных дел» сети Интернет. Таким образом, заявитель знал о состоявшихся судебных актах и, намереваясь обжаловать постановление суда кассационной инстанции, имел реальную возможность в предусмотренный законодательством срок принять своевременные меры, необходимые для подготовки и подачи кассационной жалобы в установленном порядке.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184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«Стандарт»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Ответчики: ООО "Стандарт" (подробнее) Иные лица: Касым Сергей Георгиевич (представитель Седова С.А.)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