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«Торговый дом Мархлевка» обратилось в Арбитражный суд Новосибирской области с иском о взыскании с АО «Федеральная пассажирская компания» 1 650 000 рублей убытков. Решением Арбитражного суда Новосибирской области от 11.07.2022, оставленным без изменения постановлением Седьмого арбитражного апелляционного суда от 30.09.2022 и постановлением Арбитражного суда Западно-Сибирского округа от 02.02.2023, в удовлетворении иска отказано. ООО «Торговый дом Мархлевка»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иска о взыскании убытков, связанных с выплатой по банковской гарантии, суды руководствовались положениями статей 15 , 393 , 779 Гражданского кодекса Российской Федерации и исходили из недоказанности наличия совокупности обстоятельств, влекущих привлечение ответчика к ответственности в виде возмещения убытков, с учетом установленного факта ненадлежащего исполнения истцом своих обязательств по договору.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"Торговый Дом Мархлевка" (подробнее) Ответчики: АО "Федеральная пассажирская компания" (подробнее) Иные лица: Арбитражный суд Западно-Сибирского округа (подробнее) Седьмой арбитражный апелляционный суд (подробнее) Судьи дела: Зарубина Е.Н.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