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с выводами судов по результатам оценки представленных доказательств, выраженное в доводах жалобы и направленное, по сути, на переоценку данных доказательств, установление новых обстоятельств по делу, учитывая полномочия Судебной коллегии Верховного Суда Российской Федерации, определенные статьей 29114 Арбитражного процессуального кодекса Российской Федерации, не может служить основанием для отмены либо изменения обжалуемых судебных актов.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капитального строительства администрации города Новокузнецка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"Топкинский водоканал" (подробнее) Ответчики: Управление капитального строительства администрации города Новокузнецка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