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договоров, заключенных должником и обществом, от 07.11.2016 № 23-11/16, от 14.11.2016 № 25-11/16, от 14.11.2016 № 24-11/16, от 30.06.2017 № 12-1-БД, от 30.06.2017 № 12/2-БД, от 30.06.2017 № 12/3-БД; просил о применении последствий недействительности указанных сделок. Определением Арбитражного суда города Москвы от 08.08.2022, оставленным без изменения постановлениями Девятого арбитражного апелляционного суда от 26.10.2022 и Арбитражного суда Московского округа от 22.02.2023, указанные договоры признаны ничтожными, признаны недействительными платежи, перечисленные должником в пользу общества в период с 23.05.2017 по 12.11.2018 на общую сумму 89 282 088 рублей 47 копеек; применены последствия недействительности сделок в виде признания отсутствующими обязательств сторон по указанным договорам, с общества в пользу должника взыскано 89 282 088 рублей 47 копеек.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 168 и 170 Гражданского кодекса Российской Федерации, пункта 2 статьи 61.2 и статьи 61.6 Федерального закона от 26.10.2002 № 127-ФЗ «О несостоятельности (банкротстве)», установив совершение оспариваемых сделок аффилированными лицами с противоправной целью при наличии признаков несостоятельности должника, а также пришли к выводу об отсутствии надлежащих доказательств реальности и экономической целесообразности сделок, в рамках которых совершены платежи, пришли к выводу об обоснованности заявления, указав на следствие сделок – причинение вреда имущественным правам кредиторов должника, правомерно применив последствия недействительности сделок.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"Научно-исследовательский институт конструкционных материалов на основе графита "НИИграфит" (подробнее) ИФНС №20 (подробнее) ООО "Наноплимер" (подробнее) ООО "С-плюс" (подробнее) Ответчики: ООО "КОНЦЕПТПРОЕКТ" (подробнее) Иные лица: К/у Гурбич Дмитрий Владимирович (подробнее) НП СРО АУ "Альянс" (подробнее) ООО "АльфаСтрой"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