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12.08.2022, оставленным без изменения постановлением Второго арбитражного апелляционного суда от 20.10.2022 и постановлением Арбитражного суда Волго-Вятского округа от 07.02.2023, процедура реализации имущества в отношении ФИО1 завершена с применением правил об освобождении должника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гражданина, за исключением требований перед конкурсными кредиторами АО «КБ «Хлынов» и ПАО «Сбербанк» по договору потребительского кредита от 29.04.2019. Должник обратился в Судебную коллегию Верховного Суда Российской Федерации с кассационной жалобой на принятые судебные акты в части неприменения правил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 – банками.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"ВУЗ-БАНК" (подробнее) ЗАГС (подробнее) МИФНС №14 по КО (подробнее) ОАО коммерческий банк "Хлынов" (подробнее) ООО "Феникс" (подробнее) ООО "Филберт" (подробнее) ПАО Сбербанк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