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Саратовской области обратилось ФГКУ «Росвоенипотека» с ходатайством о восстановлении срока и требованием о включении в реестр требований кредиторов должника задолженности в размере 2 293 222 рублей 94 копеек как обеспеченной залогом имущества должника (квартиры). Определением Арбитражного суда Саратовской области от 24.08.2022, оставленным без изменения постановлением Одиннадцатого арбитражного апелляционного суда от 03.11.2022 и постановлением Арбитражного суда Поволжского округа от 26.01.2023, в удовлетворении заявления о восстановлении срока для включения требования в реестр требований кредиторов должника отказано; требование ФГКУ «Росвоенипотека» по целевому жилищному займу признано обоснованным и подлежащим удовлетворению за счет оставшегося после удовлетворения требований кредиторов, включенных в реестр требований кредиторов должника, имущества должника; в удовлетворении заявления в остальной части отказано. ФГКУ «Росвоенипотека» обратилось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связи, руководствуясь положениями Федерального закона от 26.10.2002 № 127-ФЗ «О несостоятельности (банкротстве)», Федерального закона от 20.08.2004 № 117-ФЗ «О накопительно-ипотечной системе жилищного обеспечения военнослужащих», постановлением Правительства Российской Федерации от 15.05.2008 № 370 «О порядке ипотечного кредитования участников накопительно-ипотечной системы жилищного обеспечения военнослужащих», разъяснениями, изложенными в постановлении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суды признали обоснованной сумму задолженности по целевому жилищному займу. Понижая очередность удовлетворения требования, суды руководствовались положениями статей 142 , 213.4 Федерального закона «О несостоятельности (банкротстве)» и исходили из обращения кредитора с заявленным требованием после закрытия реестра требований кредиторов должника и отсутствия оснований для восстановления срока. Отказывая в удовлетворении требования в части признания за задолженностью залогового статуса, суды руководствовались пунктом 5 статьи 18.1 Федерального закона «О несостоятельности (банкротстве)», подпунктом 4 пункта 1 статьи 352 Гражданского кодекса Российской Федерации и исходили из прекращения права залога ввиду реализации спорного имущества в ходе процедуры банкротства должника.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Арбитражный суд Поволжского округа (подробнее) ИФНС №7 (подробнее) ПАО "Совкомбанк" (подробнее) ФГКУ "Росвоенипотека" (подробнее) ф/у Гудалов С.Г. (подробнее) Судьи дела: Зарубина Е.Н. (судья) Судебная практика по: По залогу, по договору залога Судебная практика по применению норм ст. 334, 352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