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«Металлсервис» обратилось в Арбитражный суд города Москвы с иском о взыскании с ООО «Калугапрофиль» 24 750 949 рублей 05 копеек убытков и 24 750 949 рублей 05 копеек штрафа. ООО «Калугапрофиль» обратилось в Арбитражный суд города Москвы с встречным иском к АО «Металлсервис» о взыскании 14 947 424 рублей 53 копеек задолженности по оплате оказанных услуг по договору хранения и 550 983 рублей 10 копеек процентов за пользование чужими денежными средствами. Решением Арбитражного суда города Москвы от 12.09.2022, оставленным без изменения постановлением Девятого арбитражного апелляционного суда от 28.11.2022 и постановлением Арбитражного суда Московского округа от 21.02.2023, первоначальный иск удовлетворен в части взыскания с ООО «Калугапрофиль» 24 750 949 рублей 05 копеек убытков и 12 375 474 рублей 52 копеек штрафа; встречный иск удовлетворен в части взыскания с АО «Металлсервис» 2 340 333 рублей 60 копеек задолженности и 178 987 рублей 43 копеек процентов; в остальных частях в удовлетворении первоначального и встречного исков отказано; в результате зачета с ООО «Калугапрофиль» в пользу АО «Металлсервис» взыскано 22 410 615 рублей 45 копеек задолженности и 12 196 487 рублей 09 копеек неустойки. ООО «Калугапрофиль»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передачи товарно-материальных ценностей на хранение ответчику и отсутствие доказательств их возврата, учитывая, что согласно условиям договора хранения ответчик отвечает за утрату, недостачу или повреждение имущества, проверив расчет убытков и неустойки, руководствуясь положениями статей 15 , 329 , 330 , 333 , 393 , 421 , 431 886 , 889 , 899 , 900 , 901 , 902 Гражданского кодекса Российской Федерации, разъяснениями, изложенными в пунктах 73, 75, 77 постановления Пленума Верховного Суда Российской Федерации от 24 марта 2016 года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обоснованности первоначального иска, снизив размер подлежащего взысканию штрафа ввиду его явной несоразмерности последствиям нарушения обязательства. С учетом признания ответчиком по встречному иску задолженности в части, суды удовлетворили встречный иск в этой части. Отказывая в удовлетворении встречного иска о взыскании задолженности в остальной части, суды исходили из недоказанности заявленных требований. При взыскании процентов за пользование чужими денежными средствами суды скорректировали период их начисления.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"МЕТАЛЛСЕРВИС" (подробнее) Ответчики: ООО "КАЛУГАПРОФИЛЬ"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