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«Меридиан» на основании договора уступки права требования обратилось в Арбитражный суд города Москвы с иском о взыскании с ООО «Урал Логистика» 247 453 407 рублей 72 копеек убытков. Решением Арбитражного суда города Москвы от 28.03.2022, оставленным без изменения постановлением Девятого арбитражного апелляционного суда от 19.10.2022 и постановлением Арбитражного суда Московского округа от 23.01.2023, иск удовлетворен. ООО «Урал Логистика»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В представленном на кассационную жалобу отзыве ООО «Меридиан» просит отказать в удовлетворении кассационной жалобы, ссылаясь на отсутствие нарушений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возражений отзыва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ненадлежащее исполнение обязательств ООО «Урал Логистика» по предоставлению вагонов в количестве и в даты, указанные в согласованной заявке, руководствуясь положениями статей 15 , 393 Гражданского кодекса Российской Федерации, пунктом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доказанности совокупности обстоятельств, влекущих привлечение ответчика к ответственности в виде взыскания убытков.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Е.Н. Зарубина Российской Федерации Суд: Верховный Суд РФ (подробнее) Истцы: ООО "Меридиан" (подробнее) ООО "Стройресурс" (подробнее) Ответчики: ООО "Урал Логистика"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