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зачете государственной пошлины. Согласно статьям 102 , 104 Арбитражного процессуального кодекса Российской Федерации (далее - АПК РФ)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не представлены. В соответствии с пунктом 1 части 1 статьи 2915 АПК РФ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На основании изложенного, руководствуясь статьями 104 , 184 , 185 , 2913 и статьей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«ГСП - Комплектация» о зачете государственной пошлины отказать. Кассационную жалобу на решение Арбитражного суда Рязанской области от 18.07.2022, постановление Двадцатого арбитражного апелляционного суда от 10.11.2022 и постановление Арбитражного суда Центрального округа от 06.03.2023 по делу № А54-406/2022 возвратить заявителю. Судья Верховного Суда Российской Федерации М.К. Антонова Суд: Верховный Суд РФ (подробнее) Истцы: ООО "ГСП-Комплектация" (подробнее) Ответчики: ООО "МЕТАЛЛОСТРОЙКОНСТРУКЦИЯ"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