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РСОПАУ (подробнее) Управление Федеральной службы государственной регистрации, кадастра и картографии по Волгоградской области (подробнее) Иные лица: АО "Банк Русский Стандарт" (подробнее) Межрайонная инспекция Федеральной налоговой службы №2 по Волгоградской области (подробнее) ОАО "Сбербанк России" (подробнее) ООО "Феникс" (подробнее) ПАО "Совкомбанк"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