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07.10.2022, оставленным без изменения постановлением Тринадцатого арбитражного апелляционного суда от 02.12.2022 и постановлением Арбитражного суда Северо-Западного округа от 06.03.2023, в удовлетворении заявления отказано. В кассационной жалобе ФИО1 просит об отмене судебных актов, ссылаясь на процессуальные нарушения и отсутствие оценки его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в подтверждение возникновения подрядного обязательства должника доказательства суды признали не отвечающими критериям статей 71 , 100 Федерального закона от 26.10.2002 № 127-ФЗ «О несостоятельности (банкротстве)» и их судебного толкования для установления основанного на них требования в реестре. Отличная от судебной оценка правоотношений с должником не создает оснований для кассационного пересмотра судебных актов. Довод о процессуальных нарушениях мотивированно отклонен окружным судом.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"СОАУ "Меркурий" (подробнее) ПАО "БАНК УРАЛСИБ" (подробнее) ПАО "Сбербанк России" (подробнее) ПАО "Совкомбанк (подробнее) УФНС России по Калининградской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