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04.08.2022, оставленным без изменения постановлением Девятого арбитражного апелляционного суда от 11.11.2022 и постановлением Арбитражного суда Московского округа от 02.02.2023, процедура реализации имущества гражданина ФИО1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требований кредитора ФИО2 ФИО1 обратился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должника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 ФИО2 по возмещению ущерба, причиненного в результате дорожно-транспортного происшествия.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Отделение пенсионного фонда Российской Федервации по Москве и МО (подробнее) Иные лица: Ассоциации СРО "ОАУ "Лидер" (подробнее) А/у Бондарь О С (подробнее) О.С. Бондарь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