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трех инстанций норм материального и процессуального права, просит пересмотреть в кассационном порядке указанные судебные акты.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первой инстанции (с которым согласились суды апелляционной и кассационной инстанций), исследовав и оценив представленные доказательства в обоснование требования Администрации (истца) о взыскании судебных расходов, понесенных на оплату судебной экспертизы, и требования ответчика о взыскании судебных расходов, понесенных на оплату услуг представителя, пришел к выводу о том, что поскольку Администрация отказалась от части иска, учтя заключение судебной экспертизы, а не ввиду добровольного удовлетворения ответчиком заявленных ею требований, судебные расходы подлежат взысканию со сторон в разумных пределах исходя из пропорционального удовлетворения заявленных истцом требований. Приведенные в кассационной жалобе доводы не опровергают выводы судов, не подтверждают существенных нарушений судами норм материального и (или) процессуального права, поэтому не имеется предусмотренных статьями 291.6 и 291.11 АПК РФ оснований для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Белгорода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И.Л. Грачева Суд: Верховный Суд РФ (подробнее) Истцы: Администрация города Белгорода (подробнее) Ответчики: ООО "Предприятие Сервиспроектстрой" (подробнее) Судьи дела: Грачева И.Л.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