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обратился финансовый управляющий имуществом должника с заявлением о признании недействительной сделкой договора купли-продажи транспортного средства от 28.02.2017, заключенного между должником и ФИО3. Определением Арбитражного суда Московской области от 24.08.2022 в удовлетворении заявления отказано. Постановлением Десятого арбитражного апелляционного суда от 07.11.2022 определение суда первой инстанции оставлено без изменения. Арбитражный суд Московского округа постановлением от 27.02.2023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10 , 168 , 170 Гражданского кодекса Российской Федерации и исходили из отсутствия обстоятельств, позволяющих квалифицировать спорную сделку в качестве мнимой либо совершенной со злоупотреблением правом. В частности, суды установили несущественное отклонение стоимости проданного автомобиля от его рыночной стоимости на момент заключения сделки, аффилированность между сторонами не доказана, оснований считать сделку совершенной со злоупотреблением правом либо в отсутствие намерения ее исполнять или с целью прикрытия иной сделки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"КР Цифровая Мастерская" (подробнее) Саморегулируемая межрегиональная "Ассоциация антикризисных управляющих" (подробнее) Иные лица: Камышный.К.В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