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Троицкой Карины Арамовны в Арбитражный суд города Москвы обратился финансовый управляющий имуществом должника с заявлением о признании недействительными сделок по перечислению должником в пользу Письмана И.Е. 2 915 000 рублей и применении последствий их недействительности. Определением Арбитражного суда города Москвы от 18.07.2022 заявление удовлетворено, сделки признаны недействительными, применены последствия недействительности сделок в виде взыскания с ответчика в пользу должника спорной денежной суммы. Постановлением Девятого арбитражного апелляционного суда от 26.10.2022 определение суда первой инстанции оставлено без изменения. Арбитражный суд Московского округа постановлением от 24.01.2023 указанные судебные акты оставил без изменения. Письман И.Е.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установив, что оспариваемые платежи совершены в условиях неплатежеспособности должника, с целью причинения вреда имущественным правам кредиторов, займы, предоставленные ответчиком должнику, заключены на нетипичных для независимых участников рынка условиях, являются беспроцентными, ответчик продолжал предоставлять должнику денежные средства в условиях невозврата предыдущих займов, наличие у кредитора финансовой возможности предоставить заем должнику документально не подтверждено.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