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обратился в суд с ходатайством об утверждении положения о порядке, сроках и условиях реализации имущества должника, а также об установлении его начальной продажной цены. Определением Арбитражного суда Воронежской области от 27.12.2019 положение о порядке, сроках и условиях реализации имущества ФИО1 утверждено в предложенной управляющим редакции, начальная продажная цена установлена в размере 1 096 667 рублей. Постановлениями Девятнадцатого арбитражного апелляционного суда от 05.03.2020 и Арбитражного суда Центрального округа от 15.06.2020 определение суда первой инстанции оставлено без изменения. В кассационной жалобе, поданной в Верховный Суд Российской Федерации, общество просит отменить акты судов трех инстанций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Разрешая спор, суды сочли, что при реализации в процедуре банкротства имущества должника на открытых торгах преимущественного права у остальных участников долевой собственности не имеется, однако данные лица не лишены возможности участия в торгах на общих основаниях. Выводы судов об отсутствии у сособственника права преимущественной покупки при реализации имущества на торгах в рамках дела о несостоятельности не согласуются с правовой позицией, изложенной в определении Судебной коллегии по экономическим спорам Верховного Суда Российской Федерации от 04.06.2020 № 306-ЭС19-22343. Вместе с тем, полагая, что при продаже доли нарушено преимущественное право покупки, общество не лишено возможности потребовать в судебном порядке перевода на него прав и обязанностей покупателя (пункт 3 статьи 250 Гражданского кодекса Российской Федерации). Поскольку не утрачена возможность восстановления и защиты прав общества в ином порядке, изложенные в кассационной жалобе возражения не могут служить достаточными основаниями для отмены обжалуемых судебных актов судебной коллегией.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АО "ЮниКредит Банк" (подробнее) Ассоциация МСРО "Содействие" (подробнее) НП "ЦФОП АПК (подробнее) ООО "Тотал" (подробнее) ПАО Банк ВТБ (подробнее) Иные лица: ФНС России (подробнее) Судьи дела: Разумов И.В. (судья) (подробнее) Последние документы по делу: Определение от 11 мая 2023 г. по делу № А14-7334/2018 Определение от 20 октября 2020 г. по делу № А14-7334/2018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