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Пятого арбитражного апелляционного суда от 21.11.2022, оставленным без изменения постановлением Арбитражного суда Дальневосточного округа от 09.02.2023, производство по апелляционной жалобе ФИО1 прекращено в связи с отказом в восстановлении срока на обжалование. В кассационной жалобе ФИО1 просит отменить судебные акты, принятые в отношении апелляционной жалобы, ссылаясь на игнорирование уважительных причин пропуска срока.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 в пределах имеющейся компетенции оценили обозначенные должником обстоятельства пропуска срока на обжалование и правомерно признали их противоречащими части 6 статьи 121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Банк ВТБ (подробнее) Иные лица: АО "Дальневосточная генерирующая компания" (подробнее) Межрайонная инспекция Федеральной налоговой службы №12 по Приморскому краю (подробнее) ТСЖ "Юпитер"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