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25.04.2023 повторно направил в Верховный Суд Российской Федерации кассационную жалобу на указанные судебные акты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Первоначальное обращение с кассационной жалобой за пределами двухмесячного срока в отсутствие ходатайства о восстановлении срока само по себе не может свидетельствовать об уважительности причин пропуска срока на подачу кассационной жалобы. При этом согласно пункту 30 постановления Пленума Высшего Арбитражного Суда Российской Федерации от 25.12.2013 № 99 «О процессуальных сроках» срок на подачу кассационной жалобы исчисляется с даты изготовления арбитражным судом судебного акта в полном объеме. Заявителем не представлено доказательств того, что им были предприняты все меры для своевременного обращения с кассационной жалобой, а установленный срок был пропущен по причине, объективно и реально препятствовавшей совершению юридически значимых действий в установленный срок. Произвольное восстановление процессуального срока на обжалование судебного акта нарушало бы принцип равноправия сторон, установленный статьей 8 Арбитражного процессуального кодекса Российской Федерации. В силу пункта 3 части 1 статьи 2915 Кодекса отказ в удовлетворении ходатайства о восстановлении пропущенного срока является основанием для возвращения кассационной жалобы без рассмотрения по существу. Руководствуясь статьями 117 , 184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Управления Федеральной службы судебных приставов по Республике Башкортостан о восстановлении пропущенного срока отказать, кассационную жалобу возвратить заявителю. Судья Верховного Суда Российской Федерации А.Г. Першутов Суд: Верховный Суд РФ (подробнее) Истцы: МФК Лайм-Займ (подробнее) Ответчики: Управление ФССП по РБ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