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02.05.2023 повторно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Первоначальное обращение с кассационной жалобой за пределами двухмесячного срока с нарушением установленного порядка обращения само по себе не может свидетельствовать об уважительности причин пропуска срока на подачу кассационной жалобы. При этом согласно пункту 30 постановления Пленума Высшего Арбитражного Суда Российской Федерации от 25.12.2013 № 99 «О процессуальных сроках» срок на подачу кассационной жалобы исчисляется с даты изготовления арбитражным судом судебного акта в полном объеме. Заявителем не представлено доказательств того, что им были предприняты все меры для своевременного обращения с кассационной жалобой, а установленный срок был пропущен по причине, объективно и реально препятствовавшей совершению юридически значимых действий в установленный срок.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Ответчики: Межрайонная инспекция Федеральной налоговой службы №1 по Мурманской области (подробнее) Иные лица: УФНС России по МО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