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Эсеньяна Г.П. в Арбитражный суд города Москвы обратился финансовый управляющий имуществом должника Кафтанатий А.И. с заявлением о признании недействительным договора дарения транспортного средства от 06.12.2020, заключенного должником с Эсеньяном П.Г., и применении последствий недействительности сделки в виде взыскания в конкурсную массу должника денежных средств в сумме 1 415 000 рублей и процентов за пользование чужими денежными средствами, начисленных с даты передачи автомобиля по дату фактического возврата денежных средств. Определением Арбитражного суда города Москвы от 17.10.2022 заявление удовлетворено в части признания недействительным договора дарения и применения последствий недействительности сделки в виде взыскания с Эсеньяна П.Г. в конкурсную массу должника 20 000 рублей, процентов за пользование чужими денежными средствами с момента вступления указанного судебного акта в законную силу по дату фактического его исполнения; в удовлетворении заявления в остальной части отказано; с 2 должника в пользу Эсеньяна П.Г. взысканы судебные расходы в размере 20 000 рублей; в остальной части в удовлетворении заявления о взыскании судебных расходов отказано. Постановлением Девятого арбитражного апелляционного суда от 28.12.2022 определение суда первой инстанции изменено в части применения последствий недействительности сделки; с Эсеньяна П.Г. в конкурсную массу должника взыскано 1 415 000 рублей, а также проценты за пользование чужими денежными средствами с даты вступления в силу судебного акта по дату фактического возврата денежных средств, начисляемые на сумму долга; в удовлетворении заявления о взыскании судебных расходов отказано; в остальной части определение суда первой инстанции оставлено без изменения. Арбитражный суд Московского округа постановлением от 10.03.2023 указанные судебные акты отменил и направил обособленный спор на новое рассмотрение в Арбитражный суд города Москвы. Финансовый управляющий Кафтанатий А.И. и ООО «Арктик Девелопмент» обратились в Судебную коллегию Верховного Суда Российской Федерации с кассационными жалобами на постановление окружного суда,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 не установлено. Отменяя принятые по обособленному спору судебные акты и направляя спор на новое рассмотрение в суд первой инстанции с целью установления обстоятельств, имеющих значение для правильного разрешения спора, полного и всестороннего исследования и оценки представленных доказательств, окружной суд действовал в пределах полномочий, предусмотренных статьями 287, 288 Арбитражного процессуального кодекса Российской Федерации. 3 Исходя из вышеизложенного, оснований для передачи кассационных жалоб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