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города Москвы от 21.12.2021 признан недействительным договор купли-продажи транспортного средства от 15.03.2018, заключенный между должником и ФИО1, и применены последствия недействительности сделки в виде обязания ФИО1 возвратить в конкурсную массу должника транспортное средство. ФИО1 обратился в Девятый арбитражный апелляционный суд с апелляционной жалобой на определение суда первой инстанции, заявив ходатайство о восстановлении пропущенного срока на апелляционное обжалование. Определением Девятого арбитражного апелляционного суда от 11.11.2022 в удовлетворении ходатайства о восстановлении процессуального срока на подачу апелляционной жалобы отказано, апелляционная жалоба возвращена заявителю. Арбитражный суд Московского округа постановлением от 17.01.2023 определение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 , 123 , 259 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КБ "ЛОКО-Банк" (подробнее) ГКР "ВЭБ.РФ" (подробнее) ПАО Банк ВТБ (подробнее) ПАО "Сбербанк России" (подробнее) Иные лица: АО "СМАРТ ДЕВЕЛОПМЕНТ ГРУПП" (подробнее) АО "Юридическое Бюро ФАКТОРИУС"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