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10.06.2022. Определением Арбитражного суда Костромской области от 28.07.2022, оставленным без изменения постановлением Второго арбитражного апелляционного суда от 22.09.2022 и постановлением Арбитражного суда Волго-Вятского округа от 16.01.2023,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