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пропущенного процессуального срока и возвращая апелляционную жалобу заявителю, суд апелляционной инстанции руководствовался статьями 117, 259, 264 Арбитражного процессуального кодекса Российской Федерации, 2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заявитель не привел объективных и уважительных причин пропуска срока на подачу жалобы. Суд округа поддержал выводы апелляционного суда. Доводы кассационной жалобы не подтверждают нарушений судами норм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«Карьер-Неруд»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