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несоответствие выводов судов фактическим обстоятельствам дела,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истца, суды руководствовались статьями 90, 91, 92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12.10.2006 № 55 «О применении 2 арбитражными судами обеспечительных мер», и исходили из недоказанности наличия оснований для принятия испрашиваемых обеспечительных мер.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права.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«Совкомбанк»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