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26.05.2022. Определением Арбитражного суда Костромской области от 10.06.2022, оставленным без изменения постановлением Второго арбитражного апелляционного суда от 14.09.2022 и постановлением Арбитражного суда Волго-Вятского округа от 09.01.2023,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